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3157F6"/>
          <w:spacing w:val="60"/>
          <w:sz w:val="22"/>
          <w:szCs w:val="22"/>
        </w:rPr>
        <w:t xml:space="preserve">KUALIFI</w:t>
      </w:r>
    </w:p>
    <w:p>
      <w:pPr>
        <w:spacing w:after="20"/>
      </w:pPr>
      <w:r>
        <w:rPr>
          <w:b/>
          <w:bCs/>
          <w:color w:val="0B1739"/>
          <w:sz w:val="52"/>
          <w:szCs w:val="52"/>
        </w:rPr>
        <w:t xml:space="preserve">Brand Package Review</w:t>
      </w:r>
    </w:p>
    <w:p>
      <w:pPr>
        <w:spacing w:after="60"/>
      </w:pPr>
      <w:r>
        <w:rPr>
          <w:color w:val="667085"/>
          <w:sz w:val="20"/>
          <w:szCs w:val="20"/>
        </w:rPr>
        <w:t xml:space="preserve">Kualifi Brand Package v1.0 · reviewed 29 July 2026</w:t>
      </w:r>
    </w:p>
    <w:p>
      <w:pPr>
        <w:pBdr>
          <w:bottom w:val="single" w:color="B7F34A" w:sz="18"/>
        </w:pBdr>
        <w:spacing w:after="200"/>
      </w:pPr>
    </w:p>
    <w:p>
      <w:pPr>
        <w:pStyle w:val="Heading1"/>
        <w:spacing w:after="120" w:before="260"/>
      </w:pPr>
      <w:r>
        <w:rPr>
          <w:b/>
          <w:bCs/>
          <w:color w:val="0B1739"/>
        </w:rPr>
        <w:t xml:space="preserve">Summary</w:t>
      </w:r>
    </w:p>
    <w:p>
      <w:pPr>
        <w:spacing w:after="120" w:line="276"/>
      </w:pPr>
      <w:r>
        <w:rPr>
          <w:b/>
          <w:bCs/>
          <w:color w:val="17213B"/>
        </w:rPr>
        <w:t xml:space="preserve">This is a strong, coherent brand system. </w:t>
      </w:r>
      <w:r>
        <w:rPr>
          <w:color w:val="17213B"/>
        </w:rPr>
        <w:t xml:space="preserve">The strategic core is excellent: one promise (“Making ESG readiness achievable”), a clean four-part message architecture (Understand → Improve → Stay ready → Demonstrate), a distinctive logo concept, and — most important for this category — rigorous, consistent separation between readiness and certification.</w:t>
      </w:r>
    </w:p>
    <w:p>
      <w:pPr>
        <w:spacing w:after="120" w:line="276"/>
      </w:pPr>
      <w:r>
        <w:rPr>
          <w:color w:val="17213B"/>
        </w:rPr>
        <w:t xml:space="preserve">The most important fixes are technical rather than strategic: the “master” logo files are not production-safe, the specified lime focus ring is invisible against the site’s own backgrounds, and the LinkedIn template clips its headline. None are conceptual problems — they are build-quality gaps. </w:t>
      </w:r>
      <w:r>
        <w:rPr>
          <w:b/>
          <w:bCs/>
          <w:color w:val="17213B"/>
        </w:rPr>
        <w:t xml:space="preserve">All three High-severity items have been corrected and the fixed assets accompany this review.</w:t>
      </w:r>
    </w:p>
    <w:p>
      <w:pPr>
        <w:spacing w:after="120" w:line="276"/>
      </w:pPr>
      <w:r>
        <w:rPr>
          <w:color w:val="17213B"/>
        </w:rPr>
        <w:t xml:space="preserve">External claims were fact-checked because the package originated from an untrusted export. </w:t>
      </w:r>
      <w:r>
        <w:rPr>
          <w:b/>
          <w:bCs/>
          <w:color w:val="17213B"/>
        </w:rPr>
        <w:t xml:space="preserve">SIRIM 55:2023 is a genuine Malaysian ESG standard and SIRIM QAS is the certifying body</w:t>
      </w:r>
      <w:r>
        <w:rPr>
          <w:color w:val="17213B"/>
        </w:rPr>
        <w:t xml:space="preserve"> — which means the careful “we prepare, we don’t certify” positioning is not just good copy, it is legally necessary and correctly executed.</w:t>
      </w:r>
    </w:p>
    <w:p>
      <w:pPr>
        <w:pStyle w:val="Heading1"/>
        <w:spacing w:after="120" w:before="260"/>
      </w:pPr>
      <w:r>
        <w:rPr>
          <w:b/>
          <w:bCs/>
          <w:color w:val="0B1739"/>
        </w:rPr>
        <w:t xml:space="preserve">Detailed findings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"/>
        <w:gridCol w:w="2500"/>
        <w:gridCol w:w="1950"/>
        <w:gridCol w:w="1050"/>
        <w:gridCol w:w="3086"/>
      </w:tblGrid>
      <w:tr>
        <w:trPr>
          <w:tblHeader/>
        </w:trPr>
        <w:tc>
          <w:tcPr>
            <w:tcW w:type="dxa" w:w="440"/>
            <w:shd w:fill="0B1739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#</w:t>
            </w:r>
          </w:p>
        </w:tc>
        <w:tc>
          <w:tcPr>
            <w:tcW w:type="dxa" w:w="2500"/>
            <w:shd w:fill="0B1739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Finding</w:t>
            </w:r>
          </w:p>
        </w:tc>
        <w:tc>
          <w:tcPr>
            <w:tcW w:type="dxa" w:w="1950"/>
            <w:shd w:fill="0B1739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Location</w:t>
            </w:r>
          </w:p>
        </w:tc>
        <w:tc>
          <w:tcPr>
            <w:tcW w:type="dxa" w:w="1050"/>
            <w:shd w:fill="0B1739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Severity</w:t>
            </w:r>
          </w:p>
        </w:tc>
        <w:tc>
          <w:tcPr>
            <w:tcW w:type="dxa" w:w="3086"/>
            <w:shd w:fill="0B1739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Recommendation</w:t>
            </w:r>
          </w:p>
        </w:tc>
      </w:tr>
      <w:tr>
        <w:tc>
          <w:tcPr>
            <w:tcW w:type="dxa" w:w="440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b w:val="false"/>
                <w:bCs w:val="false"/>
                <w:color w:val="17213B"/>
                <w:sz w:val="17"/>
                <w:szCs w:val="17"/>
              </w:rPr>
              <w:t xml:space="preserve">1</w:t>
            </w:r>
          </w:p>
        </w:tc>
        <w:tc>
          <w:tcPr>
            <w:tcW w:type="dxa" w:w="2500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40"/>
            </w:pPr>
            <w:r>
              <w:rPr>
                <w:color w:val="17213B"/>
                <w:sz w:val="17"/>
                <w:szCs w:val="17"/>
              </w:rPr>
              <w:t xml:space="preserve">The “master” logo lockups use live text for the wordmark, not outlined vectors. On any machine without Plus Jakarta Sans installed, “Kualifi” renders in Arial.</w:t>
            </w:r>
          </w:p>
        </w:tc>
        <w:tc>
          <w:tcPr>
            <w:tcW w:type="dxa" w:w="1950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b w:val="false"/>
                <w:bCs w:val="false"/>
                <w:color w:val="17213B"/>
                <w:sz w:val="17"/>
                <w:szCs w:val="17"/>
              </w:rPr>
              <w:t xml:space="preserve">01-Logos/Kualifi-Lockup-*.svg</w:t>
            </w:r>
          </w:p>
        </w:tc>
        <w:tc>
          <w:tcPr>
            <w:tcW w:type="dxa" w:w="1050"/>
            <w:shd w:fill="FCE8E6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b/>
                <w:bCs/>
                <w:color w:val="0B1739"/>
                <w:sz w:val="17"/>
                <w:szCs w:val="17"/>
              </w:rPr>
              <w:t xml:space="preserve">High</w:t>
            </w:r>
          </w:p>
        </w:tc>
        <w:tc>
          <w:tcPr>
            <w:tcW w:type="dxa" w:w="3086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40"/>
            </w:pPr>
            <w:r>
              <w:rPr>
                <w:color w:val="17213B"/>
                <w:sz w:val="17"/>
                <w:szCs w:val="17"/>
              </w:rPr>
              <w:t xml:space="preserve">Convert the wordmark to outlined paths in every master SVG/PNG lockup. A master logo must never depend on an installed font. (Corrected files supplied.)</w:t>
            </w:r>
          </w:p>
        </w:tc>
      </w:tr>
      <w:tr>
        <w:tc>
          <w:tcPr>
            <w:tcW w:type="dxa" w:w="440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b w:val="false"/>
                <w:bCs w:val="false"/>
                <w:color w:val="17213B"/>
                <w:sz w:val="17"/>
                <w:szCs w:val="17"/>
              </w:rPr>
              <w:t xml:space="preserve">2</w:t>
            </w:r>
          </w:p>
        </w:tc>
        <w:tc>
          <w:tcPr>
            <w:tcW w:type="dxa" w:w="2500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40"/>
            </w:pPr>
            <w:r>
              <w:rPr>
                <w:color w:val="17213B"/>
                <w:sz w:val="17"/>
                <w:szCs w:val="17"/>
              </w:rPr>
              <w:t xml:space="preserve">The specified lime focus ring is effectively invisible. Lime #B7F34A vs white measures 1.32:1 (vs canvas 1.21:1); WCAG 2.2 non-text contrast requires 3:1.</w:t>
            </w:r>
          </w:p>
        </w:tc>
        <w:tc>
          <w:tcPr>
            <w:tcW w:type="dxa" w:w="1950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b w:val="false"/>
                <w:bCs w:val="false"/>
                <w:color w:val="17213B"/>
                <w:sz w:val="17"/>
                <w:szCs w:val="17"/>
              </w:rPr>
              <w:t xml:space="preserve">Website style guide; kualifi.css :focus-visible</w:t>
            </w:r>
          </w:p>
        </w:tc>
        <w:tc>
          <w:tcPr>
            <w:tcW w:type="dxa" w:w="1050"/>
            <w:shd w:fill="FCE8E6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b/>
                <w:bCs/>
                <w:color w:val="0B1739"/>
                <w:sz w:val="17"/>
                <w:szCs w:val="17"/>
              </w:rPr>
              <w:t xml:space="preserve">High</w:t>
            </w:r>
          </w:p>
        </w:tc>
        <w:tc>
          <w:tcPr>
            <w:tcW w:type="dxa" w:w="3086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40"/>
            </w:pPr>
            <w:r>
              <w:rPr>
                <w:color w:val="17213B"/>
                <w:sz w:val="17"/>
                <w:szCs w:val="17"/>
              </w:rPr>
              <w:t xml:space="preserve">Use a navy or cobalt focus ring, optionally with a lime glow behind it. (Corrected kualifi.css supplied.)</w:t>
            </w:r>
          </w:p>
        </w:tc>
      </w:tr>
      <w:tr>
        <w:tc>
          <w:tcPr>
            <w:tcW w:type="dxa" w:w="440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b w:val="false"/>
                <w:bCs w:val="false"/>
                <w:color w:val="17213B"/>
                <w:sz w:val="17"/>
                <w:szCs w:val="17"/>
              </w:rPr>
              <w:t xml:space="preserve">3</w:t>
            </w:r>
          </w:p>
        </w:tc>
        <w:tc>
          <w:tcPr>
            <w:tcW w:type="dxa" w:w="2500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40"/>
            </w:pPr>
            <w:r>
              <w:rPr>
                <w:color w:val="17213B"/>
                <w:sz w:val="17"/>
                <w:szCs w:val="17"/>
              </w:rPr>
              <w:t xml:space="preserve">The LinkedIn post template clips its own headline: “Making ESG readiness achieva…” runs off the right edge.</w:t>
            </w:r>
          </w:p>
        </w:tc>
        <w:tc>
          <w:tcPr>
            <w:tcW w:type="dxa" w:w="1950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b w:val="false"/>
                <w:bCs w:val="false"/>
                <w:color w:val="17213B"/>
                <w:sz w:val="17"/>
                <w:szCs w:val="17"/>
              </w:rPr>
              <w:t xml:space="preserve">06-Social/LinkedIn-Post-Template</w:t>
            </w:r>
          </w:p>
        </w:tc>
        <w:tc>
          <w:tcPr>
            <w:tcW w:type="dxa" w:w="1050"/>
            <w:shd w:fill="FCE8E6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b/>
                <w:bCs/>
                <w:color w:val="0B1739"/>
                <w:sz w:val="17"/>
                <w:szCs w:val="17"/>
              </w:rPr>
              <w:t xml:space="preserve">High</w:t>
            </w:r>
          </w:p>
        </w:tc>
        <w:tc>
          <w:tcPr>
            <w:tcW w:type="dxa" w:w="3086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40"/>
            </w:pPr>
            <w:r>
              <w:rPr>
                <w:color w:val="17213B"/>
                <w:sz w:val="17"/>
                <w:szCs w:val="17"/>
              </w:rPr>
              <w:t xml:space="preserve">Wrap the headline to two lines (or reduce size) so the full tagline fits. (Corrected template supplied.)</w:t>
            </w:r>
          </w:p>
        </w:tc>
      </w:tr>
      <w:tr>
        <w:tc>
          <w:tcPr>
            <w:tcW w:type="dxa" w:w="440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b w:val="false"/>
                <w:bCs w:val="false"/>
                <w:color w:val="17213B"/>
                <w:sz w:val="17"/>
                <w:szCs w:val="17"/>
              </w:rPr>
              <w:t xml:space="preserve">4</w:t>
            </w:r>
          </w:p>
        </w:tc>
        <w:tc>
          <w:tcPr>
            <w:tcW w:type="dxa" w:w="2500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40"/>
            </w:pPr>
            <w:r>
              <w:rPr>
                <w:color w:val="17213B"/>
                <w:sz w:val="17"/>
                <w:szCs w:val="17"/>
              </w:rPr>
              <w:t xml:space="preserve">White-on-teal fails AA for body text. Teal #0C9B8E + white = 3.45:1 (large text / UI only).</w:t>
            </w:r>
          </w:p>
        </w:tc>
        <w:tc>
          <w:tcPr>
            <w:tcW w:type="dxa" w:w="1950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b w:val="false"/>
                <w:bCs w:val="false"/>
                <w:color w:val="17213B"/>
                <w:sz w:val="17"/>
                <w:szCs w:val="17"/>
              </w:rPr>
              <w:t xml:space="preserve">Guidelines colour rule</w:t>
            </w:r>
          </w:p>
        </w:tc>
        <w:tc>
          <w:tcPr>
            <w:tcW w:type="dxa" w:w="1050"/>
            <w:shd w:fill="FEF3D9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b/>
                <w:bCs/>
                <w:color w:val="0B1739"/>
                <w:sz w:val="17"/>
                <w:szCs w:val="17"/>
              </w:rPr>
              <w:t xml:space="preserve">Medium</w:t>
            </w:r>
          </w:p>
        </w:tc>
        <w:tc>
          <w:tcPr>
            <w:tcW w:type="dxa" w:w="3086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40"/>
            </w:pPr>
            <w:r>
              <w:rPr>
                <w:color w:val="17213B"/>
                <w:sz w:val="17"/>
                <w:szCs w:val="17"/>
              </w:rPr>
              <w:t xml:space="preserve">Qualify the rule: white on teal for large text and UI only; navy or ink for body copy on teal, or darken teal to ~#0A7D72.</w:t>
            </w:r>
          </w:p>
        </w:tc>
      </w:tr>
      <w:tr>
        <w:tc>
          <w:tcPr>
            <w:tcW w:type="dxa" w:w="440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b w:val="false"/>
                <w:bCs w:val="false"/>
                <w:color w:val="17213B"/>
                <w:sz w:val="17"/>
                <w:szCs w:val="17"/>
              </w:rPr>
              <w:t xml:space="preserve">5</w:t>
            </w:r>
          </w:p>
        </w:tc>
        <w:tc>
          <w:tcPr>
            <w:tcW w:type="dxa" w:w="2500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40"/>
            </w:pPr>
            <w:r>
              <w:rPr>
                <w:color w:val="17213B"/>
                <w:sz w:val="17"/>
                <w:szCs w:val="17"/>
              </w:rPr>
              <w:t xml:space="preserve">Brand-name clearance risk. “Kualifi” is phonetically identical to “qualify” and one letter from existing software/education brands (Qualifi, Qualifio, Kuali). Confusion with an awarding body named “Qualifi” is a real risk in a certification-adjacent space.</w:t>
            </w:r>
          </w:p>
        </w:tc>
        <w:tc>
          <w:tcPr>
            <w:tcW w:type="dxa" w:w="1950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b w:val="false"/>
                <w:bCs w:val="false"/>
                <w:color w:val="17213B"/>
                <w:sz w:val="17"/>
                <w:szCs w:val="17"/>
              </w:rPr>
              <w:t xml:space="preserve">Whole identity</w:t>
            </w:r>
          </w:p>
        </w:tc>
        <w:tc>
          <w:tcPr>
            <w:tcW w:type="dxa" w:w="1050"/>
            <w:shd w:fill="FEF3D9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b/>
                <w:bCs/>
                <w:color w:val="0B1739"/>
                <w:sz w:val="17"/>
                <w:szCs w:val="17"/>
              </w:rPr>
              <w:t xml:space="preserve">Medium</w:t>
            </w:r>
          </w:p>
        </w:tc>
        <w:tc>
          <w:tcPr>
            <w:tcW w:type="dxa" w:w="3086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40"/>
            </w:pPr>
            <w:r>
              <w:rPr>
                <w:color w:val="17213B"/>
                <w:sz w:val="17"/>
                <w:szCs w:val="17"/>
              </w:rPr>
              <w:t xml:space="preserve">Run a formal trademark clearance (MyIPO, relevant Nice classes) and check domain/SEO differentiation before wider rollout.</w:t>
            </w:r>
          </w:p>
        </w:tc>
      </w:tr>
      <w:tr>
        <w:tc>
          <w:tcPr>
            <w:tcW w:type="dxa" w:w="440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b w:val="false"/>
                <w:bCs w:val="false"/>
                <w:color w:val="17213B"/>
                <w:sz w:val="17"/>
                <w:szCs w:val="17"/>
              </w:rPr>
              <w:t xml:space="preserve">6</w:t>
            </w:r>
          </w:p>
        </w:tc>
        <w:tc>
          <w:tcPr>
            <w:tcW w:type="dxa" w:w="2500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40"/>
            </w:pPr>
            <w:r>
              <w:rPr>
                <w:color w:val="17213B"/>
                <w:sz w:val="17"/>
                <w:szCs w:val="17"/>
              </w:rPr>
              <w:t xml:space="preserve">Inconsistent British/American spelling: “colour” and “rigour” sit beside “prioritize” and “organized.” A Malaysian audience expects British throughout.</w:t>
            </w:r>
          </w:p>
        </w:tc>
        <w:tc>
          <w:tcPr>
            <w:tcW w:type="dxa" w:w="1950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b w:val="false"/>
                <w:bCs w:val="false"/>
                <w:color w:val="17213B"/>
                <w:sz w:val="17"/>
                <w:szCs w:val="17"/>
              </w:rPr>
              <w:t xml:space="preserve">Guidelines docx; website &amp; messaging copy</w:t>
            </w:r>
          </w:p>
        </w:tc>
        <w:tc>
          <w:tcPr>
            <w:tcW w:type="dxa" w:w="1050"/>
            <w:shd w:fill="FEF3D9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b/>
                <w:bCs/>
                <w:color w:val="0B1739"/>
                <w:sz w:val="17"/>
                <w:szCs w:val="17"/>
              </w:rPr>
              <w:t xml:space="preserve">Medium</w:t>
            </w:r>
          </w:p>
        </w:tc>
        <w:tc>
          <w:tcPr>
            <w:tcW w:type="dxa" w:w="3086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40"/>
            </w:pPr>
            <w:r>
              <w:rPr>
                <w:color w:val="17213B"/>
                <w:sz w:val="17"/>
                <w:szCs w:val="17"/>
              </w:rPr>
              <w:t xml:space="preserve">Standardise on British spelling (organise, prioritise, recognise) and add a spelling rule to the style guide, which currently has none. (Added.)</w:t>
            </w:r>
          </w:p>
        </w:tc>
      </w:tr>
      <w:tr>
        <w:tc>
          <w:tcPr>
            <w:tcW w:type="dxa" w:w="440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b w:val="false"/>
                <w:bCs w:val="false"/>
                <w:color w:val="17213B"/>
                <w:sz w:val="17"/>
                <w:szCs w:val="17"/>
              </w:rPr>
              <w:t xml:space="preserve">7</w:t>
            </w:r>
          </w:p>
        </w:tc>
        <w:tc>
          <w:tcPr>
            <w:tcW w:type="dxa" w:w="2500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40"/>
            </w:pPr>
            <w:r>
              <w:rPr>
                <w:color w:val="17213B"/>
                <w:sz w:val="17"/>
                <w:szCs w:val="17"/>
              </w:rPr>
              <w:t xml:space="preserve">Slate body text is borderline: #667085 on canvas = 4.56:1, passing AA by a hair.</w:t>
            </w:r>
          </w:p>
        </w:tc>
        <w:tc>
          <w:tcPr>
            <w:tcW w:type="dxa" w:w="1950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b w:val="false"/>
                <w:bCs w:val="false"/>
                <w:color w:val="17213B"/>
                <w:sz w:val="17"/>
                <w:szCs w:val="17"/>
              </w:rPr>
              <w:t xml:space="preserve">design-tokens.json / CSS --k-slate</w:t>
            </w:r>
          </w:p>
        </w:tc>
        <w:tc>
          <w:tcPr>
            <w:tcW w:type="dxa" w:w="1050"/>
            <w:shd w:fill="EDEFF3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b/>
                <w:bCs/>
                <w:color w:val="0B1739"/>
                <w:sz w:val="17"/>
                <w:szCs w:val="17"/>
              </w:rPr>
              <w:t xml:space="preserve">Low</w:t>
            </w:r>
          </w:p>
        </w:tc>
        <w:tc>
          <w:tcPr>
            <w:tcW w:type="dxa" w:w="3086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40"/>
            </w:pPr>
            <w:r>
              <w:rPr>
                <w:color w:val="17213B"/>
                <w:sz w:val="17"/>
                <w:szCs w:val="17"/>
              </w:rPr>
              <w:t xml:space="preserve">Reserve slate for secondary or large text; use ink #17213B (14.6:1) for body copy on canvas.</w:t>
            </w:r>
          </w:p>
        </w:tc>
      </w:tr>
      <w:tr>
        <w:tc>
          <w:tcPr>
            <w:tcW w:type="dxa" w:w="440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b w:val="false"/>
                <w:bCs w:val="false"/>
                <w:color w:val="17213B"/>
                <w:sz w:val="17"/>
                <w:szCs w:val="17"/>
              </w:rPr>
              <w:t xml:space="preserve">8</w:t>
            </w:r>
          </w:p>
        </w:tc>
        <w:tc>
          <w:tcPr>
            <w:tcW w:type="dxa" w:w="2500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40"/>
            </w:pPr>
            <w:r>
              <w:rPr>
                <w:color w:val="17213B"/>
                <w:sz w:val="17"/>
                <w:szCs w:val="17"/>
              </w:rPr>
              <w:t xml:space="preserve">Undocumented mechanics: copy consistently drops the Oxford comma and uses unspaced em dashes — good and consistent, but never stated as a rule.</w:t>
            </w:r>
          </w:p>
        </w:tc>
        <w:tc>
          <w:tcPr>
            <w:tcW w:type="dxa" w:w="1950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b w:val="false"/>
                <w:bCs w:val="false"/>
                <w:color w:val="17213B"/>
                <w:sz w:val="17"/>
                <w:szCs w:val="17"/>
              </w:rPr>
              <w:t xml:space="preserve">Across all copy</w:t>
            </w:r>
          </w:p>
        </w:tc>
        <w:tc>
          <w:tcPr>
            <w:tcW w:type="dxa" w:w="1050"/>
            <w:shd w:fill="EDEFF3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b/>
                <w:bCs/>
                <w:color w:val="0B1739"/>
                <w:sz w:val="17"/>
                <w:szCs w:val="17"/>
              </w:rPr>
              <w:t xml:space="preserve">Low</w:t>
            </w:r>
          </w:p>
        </w:tc>
        <w:tc>
          <w:tcPr>
            <w:tcW w:type="dxa" w:w="3086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40"/>
            </w:pPr>
            <w:r>
              <w:rPr>
                <w:color w:val="17213B"/>
                <w:sz w:val="17"/>
                <w:szCs w:val="17"/>
              </w:rPr>
              <w:t xml:space="preserve">Add “no Oxford comma” and “unspaced em dash” to the style rules. (Added.)</w:t>
            </w:r>
          </w:p>
        </w:tc>
      </w:tr>
      <w:tr>
        <w:tc>
          <w:tcPr>
            <w:tcW w:type="dxa" w:w="440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b w:val="false"/>
                <w:bCs w:val="false"/>
                <w:color w:val="17213B"/>
                <w:sz w:val="17"/>
                <w:szCs w:val="17"/>
              </w:rPr>
              <w:t xml:space="preserve">9</w:t>
            </w:r>
          </w:p>
        </w:tc>
        <w:tc>
          <w:tcPr>
            <w:tcW w:type="dxa" w:w="2500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40"/>
            </w:pPr>
            <w:r>
              <w:rPr>
                <w:color w:val="17213B"/>
                <w:sz w:val="17"/>
                <w:szCs w:val="17"/>
              </w:rPr>
              <w:t xml:space="preserve">Verify the exact standard title. The package cites “SIRIM 55:2023 — Environmental, Social and Governance management systems — Requirements with guidance.” The designation is confirmed real, but the full published subtitle should be checked against the actual document.</w:t>
            </w:r>
          </w:p>
        </w:tc>
        <w:tc>
          <w:tcPr>
            <w:tcW w:type="dxa" w:w="1950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b w:val="false"/>
                <w:bCs w:val="false"/>
                <w:color w:val="17213B"/>
                <w:sz w:val="17"/>
                <w:szCs w:val="17"/>
              </w:rPr>
              <w:t xml:space="preserve">README, messaging, website, docx, deck</w:t>
            </w:r>
          </w:p>
        </w:tc>
        <w:tc>
          <w:tcPr>
            <w:tcW w:type="dxa" w:w="1050"/>
            <w:shd w:fill="EDEFF3" w:color="auto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b/>
                <w:bCs/>
                <w:color w:val="0B1739"/>
                <w:sz w:val="17"/>
                <w:szCs w:val="17"/>
              </w:rPr>
              <w:t xml:space="preserve">Low</w:t>
            </w:r>
          </w:p>
        </w:tc>
        <w:tc>
          <w:tcPr>
            <w:tcW w:type="dxa" w:w="3086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40"/>
            </w:pPr>
            <w:r>
              <w:rPr>
                <w:color w:val="17213B"/>
                <w:sz w:val="17"/>
                <w:szCs w:val="17"/>
              </w:rPr>
              <w:t xml:space="preserve">Confirm the exact title and edition wording against the published SIRIM standard so the citation is letter-perfect.</w:t>
            </w:r>
          </w:p>
        </w:tc>
      </w:tr>
    </w:tbl>
    <w:p>
      <w:pPr>
        <w:spacing w:after="160" w:before="120"/>
      </w:pPr>
      <w:r>
        <w:rPr>
          <w:i/>
          <w:iCs/>
          <w:color w:val="667085"/>
          <w:sz w:val="18"/>
          <w:szCs w:val="18"/>
        </w:rPr>
        <w:t xml:space="preserve">Severity: </w:t>
      </w:r>
      <w:r>
        <w:rPr>
          <w:b/>
          <w:bCs/>
          <w:color w:val="0B1739"/>
          <w:sz w:val="18"/>
          <w:szCs w:val="18"/>
        </w:rPr>
        <w:t xml:space="preserve">High</w:t>
      </w:r>
      <w:r>
        <w:rPr>
          <w:i/>
          <w:iCs/>
          <w:color w:val="667085"/>
          <w:sz w:val="18"/>
          <w:szCs w:val="18"/>
        </w:rPr>
        <w:t xml:space="preserve"> = contradicts brand standard or carries compliance/production risk;  </w:t>
      </w:r>
      <w:r>
        <w:rPr>
          <w:b/>
          <w:bCs/>
          <w:color w:val="0B1739"/>
          <w:sz w:val="18"/>
          <w:szCs w:val="18"/>
        </w:rPr>
        <w:t xml:space="preserve">Medium</w:t>
      </w:r>
      <w:r>
        <w:rPr>
          <w:i/>
          <w:iCs/>
          <w:color w:val="667085"/>
          <w:sz w:val="18"/>
          <w:szCs w:val="18"/>
        </w:rPr>
        <w:t xml:space="preserve"> = inconsistent but not damaging;  </w:t>
      </w:r>
      <w:r>
        <w:rPr>
          <w:b/>
          <w:bCs/>
          <w:color w:val="0B1739"/>
          <w:sz w:val="18"/>
          <w:szCs w:val="18"/>
        </w:rPr>
        <w:t xml:space="preserve">Low</w:t>
      </w:r>
      <w:r>
        <w:rPr>
          <w:i/>
          <w:iCs/>
          <w:color w:val="667085"/>
          <w:sz w:val="18"/>
          <w:szCs w:val="18"/>
        </w:rPr>
        <w:t xml:space="preserve"> = minor style or preference.</w:t>
      </w:r>
    </w:p>
    <w:p>
      <w:pPr>
        <w:pStyle w:val="Heading1"/>
        <w:spacing w:after="120" w:before="260"/>
      </w:pPr>
      <w:r>
        <w:rPr>
          <w:b/>
          <w:bCs/>
          <w:color w:val="0B1739"/>
        </w:rPr>
        <w:t xml:space="preserve">Two concrete revisions</w:t>
      </w:r>
    </w:p>
    <w:p>
      <w:pPr>
        <w:spacing w:after="120" w:line="276"/>
      </w:pPr>
      <w:r>
        <w:rPr>
          <w:b/>
          <w:bCs/>
          <w:color w:val="0B1739"/>
        </w:rPr>
        <w:t xml:space="preserve">Focus ring (finding 2).</w:t>
      </w:r>
    </w:p>
    <w:p>
      <w:pPr>
        <w:spacing w:after="120" w:line="276"/>
      </w:pPr>
      <w:r>
        <w:rPr>
          <w:color w:val="667085"/>
        </w:rPr>
        <w:t xml:space="preserve">Before:  </w:t>
      </w:r>
      <w:r>
        <w:rPr>
          <w:rFonts w:ascii="Consolas" w:cs="Consolas" w:eastAsia="Consolas" w:hAnsi="Consolas"/>
          <w:color w:val="17213B"/>
          <w:sz w:val="18"/>
          <w:szCs w:val="18"/>
        </w:rPr>
        <w:t xml:space="preserve">.btn-primary:focus-visible{outline:4px solid var(--k-lime);outline-offset:3px}</w:t>
      </w:r>
    </w:p>
    <w:p>
      <w:pPr>
        <w:spacing w:after="120" w:line="276"/>
      </w:pPr>
      <w:r>
        <w:rPr>
          <w:color w:val="667085"/>
        </w:rPr>
        <w:t xml:space="preserve">After:  </w:t>
      </w:r>
      <w:r>
        <w:rPr>
          <w:rFonts w:ascii="Consolas" w:cs="Consolas" w:eastAsia="Consolas" w:hAnsi="Consolas"/>
          <w:color w:val="17213B"/>
          <w:sz w:val="18"/>
          <w:szCs w:val="18"/>
        </w:rPr>
        <w:t xml:space="preserve">.btn-primary:focus-visible{outline:3px solid var(--k-navy);outline-offset:2px;box-shadow:0 0 0 6px rgba(183,243,74,.9)}</w:t>
      </w:r>
    </w:p>
    <w:p>
      <w:pPr>
        <w:spacing w:before="80"/>
      </w:pPr>
      <w:r>
        <w:rPr>
          <w:b/>
          <w:bCs/>
          <w:color w:val="0B1739"/>
        </w:rPr>
        <w:t xml:space="preserve">White-on-teal rule (finding 4).</w:t>
      </w:r>
    </w:p>
    <w:p>
      <w:pPr>
        <w:spacing w:after="120" w:line="276"/>
      </w:pPr>
      <w:r>
        <w:rPr>
          <w:color w:val="667085"/>
        </w:rPr>
        <w:t xml:space="preserve">Before:  </w:t>
      </w:r>
      <w:r>
        <w:rPr>
          <w:i/>
          <w:iCs/>
          <w:color w:val="17213B"/>
        </w:rPr>
        <w:t xml:space="preserve">“White may be used on navy, cobalt or teal.”</w:t>
      </w:r>
    </w:p>
    <w:p>
      <w:pPr>
        <w:spacing w:after="120" w:line="276"/>
      </w:pPr>
      <w:r>
        <w:rPr>
          <w:color w:val="667085"/>
        </w:rPr>
        <w:t xml:space="preserve">After:  </w:t>
      </w:r>
      <w:r>
        <w:rPr>
          <w:i/>
          <w:iCs/>
          <w:color w:val="17213B"/>
        </w:rPr>
        <w:t xml:space="preserve">“White may be used on navy or cobalt for any text. On teal, use white only for large headings and UI; use navy or ink for body copy.”</w:t>
      </w:r>
    </w:p>
    <w:p>
      <w:pPr>
        <w:pStyle w:val="Heading1"/>
        <w:spacing w:after="120" w:before="260"/>
      </w:pPr>
      <w:r>
        <w:rPr>
          <w:b/>
          <w:bCs/>
          <w:color w:val="0B1739"/>
        </w:rPr>
        <w:t xml:space="preserve">Legal &amp; compliance</w:t>
      </w:r>
    </w:p>
    <w:p>
      <w:pPr>
        <w:spacing w:after="120" w:line="276"/>
      </w:pPr>
      <w:r>
        <w:rPr>
          <w:color w:val="17213B"/>
        </w:rPr>
        <w:t xml:space="preserve">The certification handling is careful and consistent, and the fact-check supports it. SIRIM 55:2023 is a live certification standard owned by SIRIM QAS, so the disclaimers are what keep “Kualifi Ready” from becoming an implied certification claim.</w:t>
      </w:r>
    </w:p>
    <w:p>
      <w:pPr>
        <w:spacing w:after="120" w:line="276"/>
      </w:pPr>
      <w:r>
        <w:rPr>
          <w:b/>
          <w:bCs/>
          <w:color w:val="0B1739"/>
        </w:rPr>
        <w:t xml:space="preserve">Working well: </w:t>
      </w:r>
      <w:r>
        <w:rPr>
          <w:color w:val="17213B"/>
        </w:rPr>
        <w:t xml:space="preserve">the “Kualifi Ready” (not “Verified”/“Certified”) badge label; the requirement to always show scope, score, method and date; the “never put SIRIM in the badge” rule; and the approved disclaimer repeated verbatim across assets. No unsubstantiated superlatives or missing disclaimers were found elsewhere.</w:t>
      </w:r>
    </w:p>
    <w:p>
      <w:pPr>
        <w:spacing w:after="120" w:line="276"/>
      </w:pPr>
      <w:r>
        <w:rPr>
          <w:b/>
          <w:bCs/>
          <w:color w:val="0B1739"/>
        </w:rPr>
        <w:t xml:space="preserve">To add: </w:t>
      </w:r>
      <w:r>
        <w:rPr>
          <w:color w:val="17213B"/>
        </w:rPr>
        <w:t xml:space="preserve">the trademark clearance (finding 5) and locking the exact standard title (finding 9).</w:t>
      </w:r>
    </w:p>
    <w:p>
      <w:pPr>
        <w:pStyle w:val="Heading1"/>
        <w:spacing w:after="120" w:before="260"/>
      </w:pPr>
      <w:r>
        <w:rPr>
          <w:b/>
          <w:bCs/>
          <w:color w:val="0B1739"/>
        </w:rPr>
        <w:t xml:space="preserve">What was corrected in this pass</w:t>
      </w:r>
    </w:p>
    <w:p>
      <w:pPr>
        <w:pStyle w:val="ListParagraph"/>
        <w:numPr>
          <w:ilvl w:val="0"/>
          <w:numId w:val="1"/>
        </w:numPr>
        <w:spacing w:after="70"/>
      </w:pPr>
      <w:r>
        <w:rPr>
          <w:color w:val="17213B"/>
        </w:rPr>
        <w:t xml:space="preserve">Kualifi-Lockup-Primary / -Reversed / -Monochrome (SVG + PNG) — wordmark converted to true outlined vectors; no font dependency.</w:t>
      </w:r>
    </w:p>
    <w:p>
      <w:pPr>
        <w:pStyle w:val="ListParagraph"/>
        <w:numPr>
          <w:ilvl w:val="0"/>
          <w:numId w:val="1"/>
        </w:numPr>
        <w:spacing w:after="70"/>
      </w:pPr>
      <w:r>
        <w:rPr>
          <w:color w:val="17213B"/>
        </w:rPr>
        <w:t xml:space="preserve">Kualifi-Ready-Badge (SVG + PNG) — rebuilt with outlined text (it shared the same live-font issue).</w:t>
      </w:r>
    </w:p>
    <w:p>
      <w:pPr>
        <w:pStyle w:val="ListParagraph"/>
        <w:numPr>
          <w:ilvl w:val="0"/>
          <w:numId w:val="1"/>
        </w:numPr>
        <w:spacing w:after="70"/>
      </w:pPr>
      <w:r>
        <w:rPr>
          <w:color w:val="17213B"/>
        </w:rPr>
        <w:t xml:space="preserve">LinkedIn-Post-Template (SVG + PNG) — headline reflowed to two lines so the full tagline shows; text outlined.</w:t>
      </w:r>
    </w:p>
    <w:p>
      <w:pPr>
        <w:pStyle w:val="ListParagraph"/>
        <w:numPr>
          <w:ilvl w:val="0"/>
          <w:numId w:val="1"/>
        </w:numPr>
        <w:spacing w:after="70"/>
      </w:pPr>
      <w:r>
        <w:rPr>
          <w:color w:val="17213B"/>
        </w:rPr>
        <w:t xml:space="preserve">kualifi.css — focus ring changed to a navy indicator with a lime glow; contrast notes added.</w:t>
      </w:r>
    </w:p>
    <w:p>
      <w:pPr>
        <w:pStyle w:val="ListParagraph"/>
        <w:numPr>
          <w:ilvl w:val="0"/>
          <w:numId w:val="1"/>
        </w:numPr>
        <w:spacing w:after="70"/>
      </w:pPr>
      <w:r>
        <w:rPr>
          <w:color w:val="17213B"/>
        </w:rPr>
        <w:t xml:space="preserve">Website-Style-Guide.md — focus-ring rule, white-on-teal rule, verified contrast table, and a new Language &amp; spelling section (British spelling, no Oxford comma, unspaced em dashes).</w:t>
      </w:r>
    </w:p>
    <w:p>
      <w:pPr>
        <w:pStyle w:val="Heading1"/>
        <w:spacing w:after="120" w:before="260"/>
      </w:pPr>
      <w:r>
        <w:rPr>
          <w:b/>
          <w:bCs/>
          <w:color w:val="0B1739"/>
        </w:rPr>
        <w:t xml:space="preserve">Sources</w:t>
      </w:r>
    </w:p>
    <w:p>
      <w:pPr>
        <w:spacing w:after="120" w:line="276"/>
      </w:pPr>
      <w:r>
        <w:rPr>
          <w:color w:val="17213B"/>
        </w:rPr>
        <w:t xml:space="preserve">SIRIM QAS — SIRIM 55 ESG Management System Certification: </w:t>
      </w:r>
      <w:r>
        <w:rPr>
          <w:color w:val="3157F6"/>
          <w:sz w:val="18"/>
          <w:szCs w:val="18"/>
        </w:rPr>
        <w:t xml:space="preserve">https://www.sirim-qas.com.my/service/sirim-55-esg-management-system-certification/</w:t>
      </w:r>
    </w:p>
    <w:p>
      <w:pPr>
        <w:spacing w:after="120" w:line="276"/>
      </w:pPr>
      <w:r>
        <w:rPr>
          <w:color w:val="17213B"/>
        </w:rPr>
        <w:t xml:space="preserve">Enviliance ASIA — Malaysia publishes industrial standard on ESG management systems: </w:t>
      </w:r>
      <w:r>
        <w:rPr>
          <w:color w:val="3157F6"/>
          <w:sz w:val="18"/>
          <w:szCs w:val="18"/>
        </w:rPr>
        <w:t xml:space="preserve">https://enviliance.com/regions/southeast-asia/my/report_11007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ptos" w:cs="Aptos" w:eastAsia="Aptos" w:hAnsi="Aptos"/>
        <w:color w:val="17213B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2026-07-29T14:25:33.878Z</dcterms:created>
  <dcterms:modified xsi:type="dcterms:W3CDTF">2026-07-29T14:25:33.878Z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